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7A" w:rsidRDefault="00E0717A" w:rsidP="00E0717A">
      <w:pPr>
        <w:jc w:val="center"/>
        <w:rPr>
          <w:rFonts w:ascii="Arial" w:hAnsi="Arial" w:cs="Arial"/>
        </w:rPr>
      </w:pPr>
    </w:p>
    <w:p w:rsidR="00E0717A" w:rsidRDefault="005A52D7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A52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5454CC" w:rsidRDefault="005454CC"/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DA6922">
        <w:rPr>
          <w:rFonts w:ascii="Arial" w:hAnsi="Arial" w:cs="Arial"/>
          <w:b/>
          <w:bCs/>
          <w:spacing w:val="40"/>
          <w:sz w:val="28"/>
          <w:szCs w:val="28"/>
        </w:rPr>
        <w:t>Клюквинского сельского поселения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E566EC" w:rsidP="00710BC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F003CC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 w:rsidR="00DA6922">
              <w:rPr>
                <w:rFonts w:ascii="Arial" w:hAnsi="Arial" w:cs="Arial"/>
              </w:rPr>
              <w:t>Клюквинка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E0717A" w:rsidP="00DA692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DA6922">
              <w:rPr>
                <w:rFonts w:ascii="Arial" w:hAnsi="Arial" w:cs="Arial"/>
                <w:bCs/>
                <w:sz w:val="24"/>
                <w:szCs w:val="24"/>
              </w:rPr>
              <w:t xml:space="preserve"> 134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4D7160">
        <w:rPr>
          <w:rFonts w:ascii="Arial" w:hAnsi="Arial" w:cs="Arial"/>
          <w:b/>
          <w:sz w:val="24"/>
          <w:szCs w:val="24"/>
        </w:rPr>
        <w:t xml:space="preserve"> порядка и сроков внесения изменений в перечень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DA6922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DA6922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4D71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статьей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="00142177" w:rsidRPr="00C9711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B70099" w:rsidRPr="00C97114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Утвердить </w:t>
      </w:r>
      <w:r w:rsidR="004F333C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r w:rsidR="004D7160" w:rsidRPr="00C97114">
        <w:rPr>
          <w:rFonts w:ascii="Arial" w:hAnsi="Arial" w:cs="Arial"/>
          <w:color w:val="000000" w:themeColor="text1"/>
          <w:sz w:val="24"/>
          <w:szCs w:val="24"/>
        </w:rPr>
        <w:t xml:space="preserve">порядок и сроки внесения изменений в перечень главных администраторов доходов 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Клюквинское сельское поселение </w:t>
      </w:r>
      <w:r w:rsidR="00DA6922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DA6922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 </w:t>
      </w:r>
      <w:r w:rsidR="00DA692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Клюквинское сельское поселение </w:t>
      </w:r>
      <w:r w:rsidR="00DA6922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DA6922">
        <w:rPr>
          <w:rFonts w:ascii="Arial" w:hAnsi="Arial" w:cs="Arial"/>
          <w:color w:val="000000" w:themeColor="text1"/>
          <w:sz w:val="24"/>
          <w:szCs w:val="24"/>
        </w:rPr>
        <w:t>а</w:t>
      </w:r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F06700" w:rsidP="00CA473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4D7160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D71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возложить на 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специалиста по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</w:t>
      </w:r>
      <w:r w:rsidR="00DA69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инансам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нистрации </w:t>
      </w:r>
      <w:r w:rsidR="000966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Клюквинского сельского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09660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 Клюквинского сельского поселения</w:t>
      </w:r>
      <w:r w:rsidR="005A578C">
        <w:rPr>
          <w:rFonts w:ascii="Arial" w:hAnsi="Arial"/>
          <w:sz w:val="24"/>
          <w:szCs w:val="24"/>
        </w:rPr>
        <w:t xml:space="preserve">            </w:t>
      </w:r>
      <w:r w:rsidR="005A578C">
        <w:rPr>
          <w:rFonts w:ascii="Arial" w:hAnsi="Arial"/>
          <w:sz w:val="16"/>
          <w:szCs w:val="16"/>
        </w:rPr>
        <w:t xml:space="preserve">   </w:t>
      </w:r>
      <w:r w:rsidR="005A578C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            </w:t>
      </w:r>
      <w:r w:rsidR="005A578C">
        <w:rPr>
          <w:rFonts w:ascii="Arial" w:hAnsi="Arial"/>
          <w:sz w:val="24"/>
          <w:szCs w:val="24"/>
        </w:rPr>
        <w:t xml:space="preserve">   </w:t>
      </w:r>
      <w:r w:rsidR="00CA4735"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>А</w:t>
      </w:r>
      <w:r w:rsidR="0037155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Г</w:t>
      </w:r>
      <w:r w:rsidR="00371554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Соловьева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710BC9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</w:p>
        </w:tc>
      </w:tr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Default="005A578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09660C" w:rsidRDefault="0009660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09660C" w:rsidRDefault="0009660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1A6531" w:rsidP="00A20744">
      <w:pPr>
        <w:pStyle w:val="ConsPlusTitle"/>
        <w:widowControl/>
        <w:jc w:val="center"/>
        <w:outlineLvl w:val="1"/>
        <w:rPr>
          <w:rFonts w:eastAsiaTheme="minorHAnsi"/>
          <w:b w:val="0"/>
          <w:color w:val="171717" w:themeColor="background2" w:themeShade="1A"/>
          <w:lang w:eastAsia="en-US"/>
        </w:rPr>
      </w:pPr>
      <w:r>
        <w:rPr>
          <w:rFonts w:eastAsiaTheme="minorHAnsi"/>
          <w:b w:val="0"/>
          <w:color w:val="171717" w:themeColor="background2" w:themeShade="1A"/>
          <w:lang w:eastAsia="en-US"/>
        </w:rPr>
        <w:t xml:space="preserve">    </w:t>
      </w:r>
      <w:r w:rsidR="00A20744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</w:t>
      </w:r>
      <w:r w:rsidR="00E50136">
        <w:rPr>
          <w:rFonts w:eastAsiaTheme="minorHAnsi"/>
          <w:b w:val="0"/>
          <w:color w:val="171717" w:themeColor="background2" w:themeShade="1A"/>
          <w:lang w:eastAsia="en-US"/>
        </w:rPr>
        <w:t xml:space="preserve">                              </w:t>
      </w:r>
    </w:p>
    <w:p w:rsidR="00F003CC" w:rsidRPr="0009660C" w:rsidRDefault="00A20744" w:rsidP="00A20744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lastRenderedPageBreak/>
        <w:t xml:space="preserve">                                                    </w:t>
      </w:r>
      <w:r w:rsidR="00E50136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</w:t>
      </w: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</w:t>
      </w:r>
      <w:proofErr w:type="gramStart"/>
      <w:r w:rsidR="00E50136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>Утверждены</w:t>
      </w:r>
      <w:proofErr w:type="gramEnd"/>
      <w:r w:rsidR="00E50136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 xml:space="preserve"> </w:t>
      </w:r>
      <w:r w:rsidR="004F333C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>п</w:t>
      </w:r>
      <w:r w:rsidR="00E50136" w:rsidRPr="0009660C">
        <w:rPr>
          <w:rFonts w:ascii="Arial" w:eastAsiaTheme="minorHAnsi" w:hAnsi="Arial" w:cs="Arial"/>
          <w:b w:val="0"/>
          <w:color w:val="000000" w:themeColor="text1"/>
          <w:sz w:val="20"/>
          <w:szCs w:val="20"/>
          <w:lang w:eastAsia="en-US"/>
        </w:rPr>
        <w:t>остановлением</w:t>
      </w:r>
    </w:p>
    <w:p w:rsidR="0009660C" w:rsidRPr="0009660C" w:rsidRDefault="00F003CC" w:rsidP="00F003C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Администрации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Клюквинского</w:t>
      </w:r>
    </w:p>
    <w:p w:rsidR="0009660C" w:rsidRPr="0009660C" w:rsidRDefault="0009660C" w:rsidP="00F003C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сельского поселения Верхнекетского </w:t>
      </w:r>
    </w:p>
    <w:p w:rsidR="0009660C" w:rsidRPr="0009660C" w:rsidRDefault="0009660C" w:rsidP="00F003C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района Томской области</w:t>
      </w:r>
    </w:p>
    <w:p w:rsidR="00F003CC" w:rsidRPr="0009660C" w:rsidRDefault="00A20744" w:rsidP="00AF78EC">
      <w:pPr>
        <w:pStyle w:val="ConsPlusTitle"/>
        <w:widowControl/>
        <w:jc w:val="right"/>
        <w:outlineLvl w:val="1"/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</w:pP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                       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                                                               </w:t>
      </w:r>
      <w:r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</w:t>
      </w:r>
      <w:r w:rsidR="00F003C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№ </w:t>
      </w:r>
      <w:r w:rsidR="0009660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134</w:t>
      </w:r>
      <w:r w:rsidR="00AF78E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 xml:space="preserve"> </w:t>
      </w:r>
      <w:r w:rsidR="00F003CC" w:rsidRPr="0009660C">
        <w:rPr>
          <w:rFonts w:ascii="Arial" w:eastAsiaTheme="minorHAnsi" w:hAnsi="Arial" w:cs="Arial"/>
          <w:b w:val="0"/>
          <w:color w:val="171717" w:themeColor="background2" w:themeShade="1A"/>
          <w:sz w:val="20"/>
          <w:szCs w:val="20"/>
          <w:lang w:eastAsia="en-US"/>
        </w:rPr>
        <w:t>от 30.12.2021</w:t>
      </w:r>
    </w:p>
    <w:p w:rsidR="00270FDC" w:rsidRDefault="00270FDC" w:rsidP="00831D9D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A20744" w:rsidRDefault="00A20744" w:rsidP="00831D9D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270FDC" w:rsidRPr="001A6531" w:rsidRDefault="00831D9D" w:rsidP="001A6531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Порядок и сроки внесения изменений в перечень главных администраторов</w:t>
      </w:r>
      <w:r w:rsidRPr="00CA4735">
        <w:rPr>
          <w:rFonts w:ascii="Arial" w:hAnsi="Arial" w:cs="Arial"/>
          <w:b/>
          <w:sz w:val="24"/>
          <w:szCs w:val="24"/>
        </w:rPr>
        <w:t xml:space="preserve"> доходов местного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473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09660C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</w:t>
      </w:r>
      <w:r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09660C">
        <w:rPr>
          <w:rFonts w:ascii="Arial" w:hAnsi="Arial" w:cs="Arial"/>
          <w:b/>
          <w:sz w:val="24"/>
          <w:szCs w:val="24"/>
        </w:rPr>
        <w:t>а</w:t>
      </w:r>
      <w:r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270FDC" w:rsidRDefault="00270FDC" w:rsidP="00270FDC">
      <w:pPr>
        <w:pStyle w:val="ConsPlusTitle"/>
        <w:widowControl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270FDC" w:rsidRDefault="00270FDC" w:rsidP="00270FDC">
      <w:pPr>
        <w:pStyle w:val="ConsPlusTitle"/>
        <w:widowControl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4D7160" w:rsidRDefault="00A65821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proofErr w:type="gramStart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1.</w:t>
      </w:r>
      <w:r w:rsid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Настоящий Порядок разработан в соответствии с 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proofErr w:type="gramEnd"/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4F33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п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остановлением Правительства Российской Федерации от 16.09.2021 N 1569, и устанавливает порядок и сроки внесения изменений в перечень главных администраторов доходов местного бюджета 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муниципального образования 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Клюквинское сельское поселение Верхнекетского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район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а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Томской области 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(далее - перечень главных администраторов доходов)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в 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течени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е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текущего финансового года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.</w:t>
      </w:r>
    </w:p>
    <w:p w:rsidR="00831D9D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2. В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п</w:t>
      </w:r>
      <w:r w:rsidR="00831D9D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ер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ечень главных администраторов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доходов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вносятся изменения по следующим основаниям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:</w:t>
      </w:r>
    </w:p>
    <w:p w:rsidR="00831D9D" w:rsidRDefault="00831D9D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изменение состава и</w:t>
      </w:r>
      <w:r w:rsidR="009905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(или) функций 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главных администраторов доходов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;</w:t>
      </w:r>
    </w:p>
    <w:p w:rsidR="005C428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2) 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изменение принципов назначения и присвоения структуры кодов классиф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икации доходов бюджетов;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3) поступление дополнительных </w:t>
      </w:r>
      <w:r w:rsidR="0009660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безвозмездных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поступлений, не предусмотренных законом Томской области </w:t>
      </w:r>
      <w:proofErr w:type="gramStart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об</w:t>
      </w:r>
      <w:proofErr w:type="gramEnd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местном бюджете;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4) изменение наименования и кода главного администратора доходов;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5) изменение наименования и кода вида (подвида) доходов местного бюджета в связи с изменением федеральных нормативных правовых актов;</w:t>
      </w:r>
    </w:p>
    <w:p w:rsidR="00347D7E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6) </w:t>
      </w:r>
      <w:r w:rsidR="00347D7E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изменение кода подвида по видам доходов местного бюджета;</w:t>
      </w:r>
    </w:p>
    <w:p w:rsidR="00E50136" w:rsidRDefault="00347D7E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7) резервирование кодов бюджетной классификации Российской Федерации в соответствии с проектом приказа Министерства финансов Российской Федерации «О внесении изменений в приказ Министерства финансов Российской Федерации «Об утверждении кодов (перечней кодов) бюджетной классификации Российской Федерации на текущий финансовый год и на плановый период».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</w:p>
    <w:p w:rsidR="005C4286" w:rsidRDefault="00347D7E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3. Главные администраторы доходов в случае возникновения необходимости внесения изменений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 соответствии с пунктом 2 настоящего Порядка не позднее 10</w:t>
      </w:r>
      <w:r w:rsidR="004F33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рабочих дней со дня их возникно</w:t>
      </w:r>
      <w:r w:rsid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вения представляют предложения с указанием следующей информации:</w:t>
      </w:r>
    </w:p>
    <w:p w:rsidR="00DC4290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наименование и коды главного администратора доходов;</w:t>
      </w:r>
    </w:p>
    <w:p w:rsidR="00DC4290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2) наименование и код вида(подвида) дохода местного бюджета;</w:t>
      </w:r>
    </w:p>
    <w:p w:rsidR="00DC4290" w:rsidRPr="00C97114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3) основания внесения изменений 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перечень главных администраторов доходов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, предусмотренные в пункте 2 настоящего Порядка.</w:t>
      </w:r>
    </w:p>
    <w:p w:rsidR="0009660C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lastRenderedPageBreak/>
        <w:t>4. В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несения изменений 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производится в срок не более 20 календарных дней </w:t>
      </w:r>
      <w:proofErr w:type="gramStart"/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с даты возникновения</w:t>
      </w:r>
      <w:proofErr w:type="gramEnd"/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основания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, указанного в пункте 2 настоящего Порядка, и оформляется постановлением Администрации </w:t>
      </w:r>
      <w:r w:rsidR="0009660C">
        <w:rPr>
          <w:rFonts w:ascii="Arial" w:eastAsiaTheme="minorHAnsi" w:hAnsi="Arial" w:cs="Arial"/>
          <w:b w:val="0"/>
          <w:color w:val="000000" w:themeColor="text1"/>
          <w:lang w:eastAsia="en-US"/>
        </w:rPr>
        <w:t>Клюквинского сельского поселения.</w:t>
      </w:r>
    </w:p>
    <w:p w:rsidR="005C4286" w:rsidRPr="00FF40E9" w:rsidRDefault="0009660C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5. 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DC4290" w:rsidRP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Актуализация 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>п</w:t>
      </w:r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еречня главных администраторов 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доходов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bookmarkStart w:id="0" w:name="_GoBack"/>
      <w:bookmarkEnd w:id="0"/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к началу очередного бюджетного цикла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="006847A3" w:rsidRPr="006847A3">
        <w:rPr>
          <w:rFonts w:ascii="Arial" w:eastAsiaTheme="minorHAnsi" w:hAnsi="Arial" w:cs="Arial"/>
          <w:b w:val="0"/>
          <w:color w:val="000000" w:themeColor="text1"/>
          <w:lang w:eastAsia="en-US"/>
        </w:rPr>
        <w:t>осуществляется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путем внесения изменений в п</w:t>
      </w:r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еречень главны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х администраторов доходов</w:t>
      </w:r>
      <w:r w:rsidR="00DC429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по итогам финансового года в срок до 30 де</w:t>
      </w:r>
      <w:r w:rsidR="004F333C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кабря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текущего финансового года</w:t>
      </w:r>
      <w:r w:rsidR="00FF40E9">
        <w:rPr>
          <w:rFonts w:ascii="Arial" w:eastAsiaTheme="minorHAnsi" w:hAnsi="Arial" w:cs="Arial"/>
          <w:b w:val="0"/>
          <w:color w:val="000000" w:themeColor="text1"/>
          <w:lang w:eastAsia="en-US"/>
        </w:rPr>
        <w:t>.</w:t>
      </w:r>
    </w:p>
    <w:p w:rsidR="004F333C" w:rsidRPr="004F333C" w:rsidRDefault="004F333C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C00000"/>
          <w:sz w:val="40"/>
          <w:szCs w:val="40"/>
          <w:lang w:eastAsia="en-US"/>
        </w:rPr>
      </w:pPr>
    </w:p>
    <w:sectPr w:rsidR="004F333C" w:rsidRPr="004F333C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57" w:rsidRDefault="00DB5957" w:rsidP="003F5021">
      <w:r>
        <w:separator/>
      </w:r>
    </w:p>
  </w:endnote>
  <w:endnote w:type="continuationSeparator" w:id="0">
    <w:p w:rsidR="00DB5957" w:rsidRDefault="00DB5957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57" w:rsidRDefault="00DB5957" w:rsidP="003F5021">
      <w:r>
        <w:separator/>
      </w:r>
    </w:p>
  </w:footnote>
  <w:footnote w:type="continuationSeparator" w:id="0">
    <w:p w:rsidR="00DB5957" w:rsidRDefault="00DB5957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5454CC" w:rsidRDefault="005A52D7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68D1"/>
    <w:rsid w:val="0009660C"/>
    <w:rsid w:val="000B7122"/>
    <w:rsid w:val="00130FE5"/>
    <w:rsid w:val="00142177"/>
    <w:rsid w:val="00146991"/>
    <w:rsid w:val="0015168A"/>
    <w:rsid w:val="00157F03"/>
    <w:rsid w:val="001731CA"/>
    <w:rsid w:val="00175C3B"/>
    <w:rsid w:val="001A6531"/>
    <w:rsid w:val="001D694D"/>
    <w:rsid w:val="001E5681"/>
    <w:rsid w:val="002340B1"/>
    <w:rsid w:val="00257E4E"/>
    <w:rsid w:val="00270FDC"/>
    <w:rsid w:val="00280AD5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F333C"/>
    <w:rsid w:val="0050300E"/>
    <w:rsid w:val="005068A3"/>
    <w:rsid w:val="005154BE"/>
    <w:rsid w:val="00526EE5"/>
    <w:rsid w:val="00530247"/>
    <w:rsid w:val="005370DB"/>
    <w:rsid w:val="00537B27"/>
    <w:rsid w:val="005454CC"/>
    <w:rsid w:val="00565EF2"/>
    <w:rsid w:val="00576AAA"/>
    <w:rsid w:val="00591462"/>
    <w:rsid w:val="005A52D7"/>
    <w:rsid w:val="005A578C"/>
    <w:rsid w:val="005C4286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847A3"/>
    <w:rsid w:val="006A293A"/>
    <w:rsid w:val="006F54ED"/>
    <w:rsid w:val="007006BE"/>
    <w:rsid w:val="00705614"/>
    <w:rsid w:val="00710BC9"/>
    <w:rsid w:val="007177DF"/>
    <w:rsid w:val="00737747"/>
    <w:rsid w:val="00747884"/>
    <w:rsid w:val="007B597A"/>
    <w:rsid w:val="007C3293"/>
    <w:rsid w:val="007F6562"/>
    <w:rsid w:val="007F6566"/>
    <w:rsid w:val="008136F4"/>
    <w:rsid w:val="00823E61"/>
    <w:rsid w:val="00831D9D"/>
    <w:rsid w:val="00847EC3"/>
    <w:rsid w:val="00860A0E"/>
    <w:rsid w:val="00870E65"/>
    <w:rsid w:val="008728A5"/>
    <w:rsid w:val="008A06D1"/>
    <w:rsid w:val="008B44C5"/>
    <w:rsid w:val="00916F7F"/>
    <w:rsid w:val="00921208"/>
    <w:rsid w:val="00935D33"/>
    <w:rsid w:val="00985724"/>
    <w:rsid w:val="0099053C"/>
    <w:rsid w:val="0099519E"/>
    <w:rsid w:val="009A22D4"/>
    <w:rsid w:val="009B3D65"/>
    <w:rsid w:val="009D12E8"/>
    <w:rsid w:val="009D7965"/>
    <w:rsid w:val="009F5AA4"/>
    <w:rsid w:val="00A07ADC"/>
    <w:rsid w:val="00A20744"/>
    <w:rsid w:val="00A65821"/>
    <w:rsid w:val="00AB50FB"/>
    <w:rsid w:val="00AC7BB9"/>
    <w:rsid w:val="00AF78EC"/>
    <w:rsid w:val="00B14E2F"/>
    <w:rsid w:val="00B63A06"/>
    <w:rsid w:val="00B70099"/>
    <w:rsid w:val="00B83F0D"/>
    <w:rsid w:val="00B96C04"/>
    <w:rsid w:val="00BC70E4"/>
    <w:rsid w:val="00C0561C"/>
    <w:rsid w:val="00C82733"/>
    <w:rsid w:val="00C97114"/>
    <w:rsid w:val="00CA4735"/>
    <w:rsid w:val="00CB1B20"/>
    <w:rsid w:val="00CE4315"/>
    <w:rsid w:val="00D20330"/>
    <w:rsid w:val="00D32158"/>
    <w:rsid w:val="00D565B7"/>
    <w:rsid w:val="00D7321D"/>
    <w:rsid w:val="00D83E6F"/>
    <w:rsid w:val="00DA4EDC"/>
    <w:rsid w:val="00DA6922"/>
    <w:rsid w:val="00DB5957"/>
    <w:rsid w:val="00DC4290"/>
    <w:rsid w:val="00DC6B74"/>
    <w:rsid w:val="00DF6A43"/>
    <w:rsid w:val="00E0717A"/>
    <w:rsid w:val="00E42613"/>
    <w:rsid w:val="00E50136"/>
    <w:rsid w:val="00E566EC"/>
    <w:rsid w:val="00E61E3A"/>
    <w:rsid w:val="00E70F0E"/>
    <w:rsid w:val="00E74345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653F"/>
    <w:rsid w:val="00FB4C2F"/>
    <w:rsid w:val="00FD164D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3</cp:revision>
  <cp:lastPrinted>2021-12-30T07:02:00Z</cp:lastPrinted>
  <dcterms:created xsi:type="dcterms:W3CDTF">2022-01-10T01:58:00Z</dcterms:created>
  <dcterms:modified xsi:type="dcterms:W3CDTF">2022-01-10T01:58:00Z</dcterms:modified>
</cp:coreProperties>
</file>